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36"/>
          <w:szCs w:val="36"/>
        </w:rPr>
      </w:pPr>
      <w:bookmarkStart w:colFirst="0" w:colLast="0" w:name="_heading=h.30j0zll" w:id="0"/>
      <w:bookmarkEnd w:id="0"/>
      <w:r w:rsidDel="00000000" w:rsidR="00000000" w:rsidRPr="00000000">
        <w:rPr>
          <w:rFonts w:ascii="Arial" w:cs="Arial" w:eastAsia="Arial" w:hAnsi="Arial"/>
          <w:b w:val="1"/>
          <w:color w:val="000000"/>
          <w:sz w:val="36"/>
          <w:szCs w:val="36"/>
          <w:rtl w:val="0"/>
        </w:rPr>
        <w:t xml:space="preserve">Call-Off Schedule 28 (TUPE Surcharge)</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6"/>
          <w:szCs w:val="6"/>
        </w:rPr>
      </w:pPr>
      <w:bookmarkStart w:colFirst="0" w:colLast="0" w:name="_heading=h.oqd34042zczz" w:id="1"/>
      <w:bookmarkEnd w:id="1"/>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gridSpan w:val="2"/>
          </w:tcPr>
          <w:p w:rsidR="00000000" w:rsidDel="00000000" w:rsidP="00000000" w:rsidRDefault="00000000" w:rsidRPr="00000000" w14:paraId="0000000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(i) Joint Schedule 1 (Definitions) and (ii) Call–Off Schedule 2 (Staff Transfer):</w:t>
            </w:r>
          </w:p>
        </w:tc>
      </w:tr>
      <w:tr>
        <w:trPr>
          <w:cantSplit w:val="0"/>
          <w:tblHeader w:val="0"/>
        </w:trPr>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MEANING</w:t>
            </w:r>
          </w:p>
        </w:tc>
      </w:tr>
      <w:tr>
        <w:trPr>
          <w:cantSplit w:val="0"/>
          <w:tblHeader w:val="0"/>
        </w:trPr>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“Annual Pension Cost”</w:t>
            </w:r>
          </w:p>
        </w:tc>
        <w:tc>
          <w:tcP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 Award TUPE Risk Premium”</w:t>
            </w:r>
          </w:p>
        </w:tc>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1 of Call Off Schedule 28 (TUPE Surcharge);</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 of Change”</w:t>
            </w:r>
          </w:p>
        </w:tc>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p>
        </w:tc>
      </w:tr>
      <w:tr>
        <w:trPr>
          <w:cantSplit w:val="0"/>
          <w:tblHeader w:val="0"/>
        </w:trPr>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 Contribution"</w:t>
            </w:r>
          </w:p>
        </w:tc>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standard employer pension contributions paid in accordance with the relevant pension scheme rules and used in the calculation of the TUPE Risk Premium less any costs recoverable under Annex D3: LGPS of Part D Pensions of Schedule 2 Staff Transfer;</w:t>
            </w:r>
          </w:p>
        </w:tc>
      </w:tr>
      <w:tr>
        <w:trPr>
          <w:cantSplit w:val="0"/>
          <w:tblHeader w:val="0"/>
        </w:trPr>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 Contribution Cap"</w:t>
            </w:r>
          </w:p>
        </w:tc>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Fee TUPE Risk Premium”</w:t>
            </w:r>
          </w:p>
        </w:tc>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3 of Call Off Schedule 28 (TUPE Surcharge);</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TUPE Risk Premium"</w:t>
            </w:r>
          </w:p>
        </w:tc>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2 of Call Off Schedule 28 (TUPE Surcharge);</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Pension Cost"</w:t>
            </w:r>
          </w:p>
        </w:tc>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Annex D3: LGPS of Part D Pensions of Schedule 2 Staff Transfer; and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such other pension contributions, charges or costs incurred by the Supplier which have been 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Count"</w:t>
            </w:r>
          </w:p>
        </w:tc>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total number of Transferring Former Supplier Employees and/or Transferring Buyer Employees identified in the Employee Liability  Information;</w:t>
            </w:r>
          </w:p>
        </w:tc>
      </w:tr>
      <w:tr>
        <w:trPr>
          <w:cantSplit w:val="0"/>
          <w:tblHeader w:val="0"/>
        </w:trPr>
        <w:tc>
          <w:tcPr>
            <w:vAlign w:val="center"/>
          </w:tcPr>
          <w:p w:rsidR="00000000" w:rsidDel="00000000" w:rsidP="00000000" w:rsidRDefault="00000000" w:rsidRPr="00000000" w14:paraId="00000043">
            <w:pPr>
              <w:ind w:left="7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Risk Premium"</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either the:</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Direct Award TUPE Risk Premium;</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bookmarkStart w:colFirst="0" w:colLast="0" w:name="_heading=h.2s8eyo1" w:id="2"/>
            <w:bookmarkEnd w:id="2"/>
            <w:r w:rsidDel="00000000" w:rsidR="00000000" w:rsidRPr="00000000">
              <w:rPr>
                <w:rFonts w:ascii="Arial" w:cs="Arial" w:eastAsia="Arial" w:hAnsi="Arial"/>
                <w:color w:val="000000"/>
                <w:sz w:val="24"/>
                <w:szCs w:val="24"/>
                <w:rtl w:val="0"/>
              </w:rPr>
              <w:t xml:space="preserve">b)</w:t>
              <w:tab/>
              <w:t xml:space="preserve">Further Competition TUPE Risk Premium; or</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Fixed Fee TUPE Risk Premium,</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the context requires;</w:t>
            </w:r>
          </w:p>
        </w:tc>
      </w:tr>
      <w:tr>
        <w:trPr>
          <w:cantSplit w:val="0"/>
          <w:tblHeader w:val="0"/>
        </w:trPr>
        <w:tc>
          <w:tcPr>
            <w:vAlign w:val="center"/>
          </w:tcPr>
          <w:p w:rsidR="00000000" w:rsidDel="00000000" w:rsidP="00000000" w:rsidRDefault="00000000" w:rsidRPr="00000000" w14:paraId="00000049">
            <w:pPr>
              <w:ind w:left="7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Risk Premium Average"</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average  calculated by dividing the Further Competition TUPE Risk Premium by the lower of either:</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Labour Count; or</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TUPE Count.</w:t>
            </w:r>
          </w:p>
        </w:tc>
      </w:tr>
    </w:tbl>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color w:val="000000"/>
          <w:sz w:val="24"/>
          <w:szCs w:val="24"/>
        </w:rPr>
      </w:pPr>
      <w:r w:rsidDel="00000000" w:rsidR="00000000" w:rsidRPr="00000000">
        <w:rPr>
          <w:rFonts w:ascii="Arial" w:cs="Arial" w:eastAsia="Arial" w:hAnsi="Arial"/>
          <w:b w:val="1"/>
          <w:color w:val="000000"/>
          <w:sz w:val="24"/>
          <w:szCs w:val="24"/>
          <w:rtl w:val="0"/>
        </w:rPr>
        <w:t xml:space="preserve">Option 1 – Direct Award – TUPE Risk Premium </w:t>
      </w:r>
      <w:r w:rsidDel="00000000" w:rsidR="00000000" w:rsidRPr="00000000">
        <w:rPr>
          <w:rtl w:val="0"/>
        </w:rPr>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strike w:val="1"/>
          <w:color w:val="000000"/>
          <w:sz w:val="24"/>
          <w:szCs w:val="24"/>
        </w:rPr>
      </w:pPr>
      <w:r w:rsidDel="00000000" w:rsidR="00000000" w:rsidRPr="00000000">
        <w:rPr>
          <w:rFonts w:ascii="Arial" w:cs="Arial" w:eastAsia="Arial" w:hAnsi="Arial"/>
          <w:strike w:val="1"/>
          <w:color w:val="000000"/>
          <w:sz w:val="24"/>
          <w:szCs w:val="24"/>
          <w:rtl w:val="0"/>
        </w:rPr>
        <w:t xml:space="preserve">The Direct Award TUPE Risk Premium shall be priced for during the Mobilisation Period (as agreed by the Buyer) and shall follow the process described within Option 2 – Further Competition TUPE Risk Premium.</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Option 2- Further Competition TUPE Risk Premium</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TUPE Risk Premium shall be priced for at Further Competition as set out in Annex 1 - Call Off Schedule 5 (Pricing Details)</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notice that no adjustment is required and the Further Competition TUPE Risk Premium submitted at Call-Off Tender will be used.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985"/>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TUPE Risk Premium, when post award adjustment</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may request a Further Competition TUPE Risk Premium adjustment, and the Buyer may grant the request, if:</w:t>
      </w:r>
    </w:p>
    <w:p w:rsidR="00000000" w:rsidDel="00000000" w:rsidP="00000000" w:rsidRDefault="00000000" w:rsidRPr="00000000" w14:paraId="0000005B">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5C">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TUPE Count; </w:t>
      </w:r>
    </w:p>
    <w:p w:rsidR="00000000" w:rsidDel="00000000" w:rsidP="00000000" w:rsidRDefault="00000000" w:rsidRPr="00000000" w14:paraId="0000005D">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costs covered by the  Further Competition TUPE Risk Premium; and/or</w:t>
      </w:r>
    </w:p>
    <w:p w:rsidR="00000000" w:rsidDel="00000000" w:rsidP="00000000" w:rsidRDefault="00000000" w:rsidRPr="00000000" w14:paraId="0000005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are any other unknown costs arising directly from the contract of employment of the Transferring Former Supplier Employee and/or Transferring Buyer Employee,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agreement of the Further Competition TUPE Risk Premium the Further Competition TUPE Risk Premium Average shall be calculated and this will be used as the basis for the  annual  review of the Further Competition TUPE Risk Premium.</w:t>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TUPE Risk Premium shall be reviewed by the Buyer at the commencement of each Contract Year.</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Difference in TUPE Count (Previous Contract Year less current Contract Year) x TUPE Risk Premium Average.</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leader="none" w:pos="1985"/>
        </w:tabs>
        <w:spacing w:after="120" w:lineRule="auto"/>
        <w:ind w:left="2733" w:hanging="93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adjusted Further Competition TUPE Risk Premium; or </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heading=h.4d34og8" w:id="6"/>
      <w:bookmarkEnd w:id="6"/>
      <w:r w:rsidDel="00000000" w:rsidR="00000000" w:rsidRPr="00000000">
        <w:rPr>
          <w:rFonts w:ascii="Arial" w:cs="Arial" w:eastAsia="Arial" w:hAnsi="Arial"/>
          <w:color w:val="000000"/>
          <w:sz w:val="24"/>
          <w:szCs w:val="24"/>
          <w:rtl w:val="0"/>
        </w:rPr>
        <w:t xml:space="preserve">Where the adjusted Further Competition TUPE Risk Premium is more than the Further Competition TUPE Risk Premium in the previous Contract Year, the Further Competition TUPE Risk Premium shall not be adjusted</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audit</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reserves the right to review and audit the calculation of the Further Competition TUPE Risk Premium at any time. </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b w:val="1"/>
          <w:strike w:val="1"/>
          <w:color w:val="000000"/>
          <w:sz w:val="24"/>
          <w:szCs w:val="24"/>
        </w:rPr>
      </w:pPr>
      <w:bookmarkStart w:colFirst="0" w:colLast="0" w:name="_heading=h.3dy6vkm" w:id="7"/>
      <w:bookmarkEnd w:id="7"/>
      <w:r w:rsidDel="00000000" w:rsidR="00000000" w:rsidRPr="00000000">
        <w:rPr>
          <w:rFonts w:ascii="Arial" w:cs="Arial" w:eastAsia="Arial" w:hAnsi="Arial"/>
          <w:b w:val="1"/>
          <w:strike w:val="1"/>
          <w:color w:val="000000"/>
          <w:sz w:val="24"/>
          <w:szCs w:val="24"/>
          <w:rtl w:val="0"/>
        </w:rPr>
        <w:t xml:space="preserve">Option 3 – Further Competition - Fixed Fee TUPE Risk Premium</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strike w:val="1"/>
          <w:color w:val="000000"/>
          <w:sz w:val="24"/>
          <w:szCs w:val="24"/>
        </w:rPr>
      </w:pPr>
      <w:r w:rsidDel="00000000" w:rsidR="00000000" w:rsidRPr="00000000">
        <w:rPr>
          <w:rFonts w:ascii="Arial" w:cs="Arial" w:eastAsia="Arial" w:hAnsi="Arial"/>
          <w:strike w:val="1"/>
          <w:color w:val="000000"/>
          <w:sz w:val="24"/>
          <w:szCs w:val="24"/>
          <w:rtl w:val="0"/>
        </w:rPr>
        <w:t xml:space="preserve">The Fixed Fee TUPE Risk Premium shall be priced for at Further Competition as set out in Annex 1 - Call Off Schedule 5 (Pricing Details).</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strike w:val="1"/>
          <w:color w:val="000000"/>
          <w:sz w:val="24"/>
          <w:szCs w:val="24"/>
        </w:rPr>
      </w:pPr>
      <w:r w:rsidDel="00000000" w:rsidR="00000000" w:rsidRPr="00000000">
        <w:rPr>
          <w:rFonts w:ascii="Arial" w:cs="Arial" w:eastAsia="Arial" w:hAnsi="Arial"/>
          <w:strike w:val="1"/>
          <w:color w:val="000000"/>
          <w:sz w:val="24"/>
          <w:szCs w:val="24"/>
          <w:rtl w:val="0"/>
        </w:rPr>
        <w:t xml:space="preserve"> and no further adjustments shall be permitted except as set out in paragraph 4 of this Schedule 28 (TUPE Surcharge).</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Pensions Contribution Cap &amp; other pension cost</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options detailed at paragraphs 1, 2 and 3 above the following shall apply.</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requests a pension adjustment in accordance with the provisions of paragraph 4.1.1. above the TUPE Risk Premium, they must provide sufficient evidence to the Buyer to justify the pension adjustment.</w:t>
      </w:r>
    </w:p>
    <w:p w:rsidR="00000000" w:rsidDel="00000000" w:rsidP="00000000" w:rsidRDefault="00000000" w:rsidRPr="00000000" w14:paraId="0000008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heading=h.17dp8vu" w:id="8"/>
      <w:bookmarkEnd w:id="8"/>
      <w:r w:rsidDel="00000000" w:rsidR="00000000" w:rsidRPr="00000000">
        <w:rPr>
          <w:rFonts w:ascii="Arial" w:cs="Arial" w:eastAsia="Arial" w:hAnsi="Arial"/>
          <w:color w:val="000000"/>
          <w:sz w:val="24"/>
          <w:szCs w:val="24"/>
          <w:rtl w:val="0"/>
        </w:rPr>
        <w:t xml:space="preserve">On receipt of the Supplier's calculation of the  pension adjustment the Buyer shall either:</w:t>
      </w:r>
    </w:p>
    <w:p w:rsidR="00000000" w:rsidDel="00000000" w:rsidP="00000000" w:rsidRDefault="00000000" w:rsidRPr="00000000" w14:paraId="0000008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pension  adjustment; </w:t>
      </w:r>
    </w:p>
    <w:p w:rsidR="00000000" w:rsidDel="00000000" w:rsidP="00000000" w:rsidRDefault="00000000" w:rsidRPr="00000000" w14:paraId="0000008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8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88">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9">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502"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 of Change</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Option 1 and 2 Direct Award TUPE Risk Premium and Further Competition TUPE Risk Premium.</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heading=h.gjdgxs" w:id="9"/>
      <w:bookmarkEnd w:id="9"/>
      <w:r w:rsidDel="00000000" w:rsidR="00000000" w:rsidRPr="00000000">
        <w:rPr>
          <w:rFonts w:ascii="Arial" w:cs="Arial" w:eastAsia="Arial" w:hAnsi="Arial"/>
          <w:color w:val="000000"/>
          <w:sz w:val="24"/>
          <w:szCs w:val="24"/>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8F">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Suppliers calculation of the post award adjustment the Buyer shall either:</w:t>
      </w:r>
    </w:p>
    <w:p w:rsidR="00000000" w:rsidDel="00000000" w:rsidP="00000000" w:rsidRDefault="00000000" w:rsidRPr="00000000" w14:paraId="0000009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 of Change adjustments, or</w:t>
      </w:r>
    </w:p>
    <w:p w:rsidR="00000000" w:rsidDel="00000000" w:rsidP="00000000" w:rsidRDefault="00000000" w:rsidRPr="00000000" w14:paraId="0000009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9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Option 3 – Further Competition Fixed Fee TUPE Risk Premium</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shall be no post award adjustment to Cost of Change.</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6">
      <w:pPr>
        <w:spacing w:after="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9E">
    <w:pPr>
      <w:spacing w:after="0" w:line="276" w:lineRule="auto"/>
      <w:rPr>
        <w:rFonts w:ascii="Arial" w:cs="Arial" w:eastAsia="Arial" w:hAnsi="Arial"/>
        <w:sz w:val="20"/>
        <w:szCs w:val="20"/>
      </w:rPr>
    </w:pPr>
    <w:bookmarkStart w:colFirst="0" w:colLast="0" w:name="_heading=h.1t3h5sf" w:id="11"/>
    <w:bookmarkEnd w:id="11"/>
    <w:r w:rsidDel="00000000" w:rsidR="00000000" w:rsidRPr="00000000">
      <w:rPr>
        <w:rFonts w:ascii="Arial" w:cs="Arial" w:eastAsia="Arial" w:hAnsi="Arial"/>
        <w:sz w:val="20"/>
        <w:szCs w:val="20"/>
        <w:rtl w:val="0"/>
      </w:rPr>
      <w:t xml:space="preserve">Project Ref: v1.0</w:t>
      <w:tab/>
      <w:tab/>
      <w:tab/>
      <w:tab/>
      <w:tab/>
      <w:tab/>
      <w:tab/>
      <w:tab/>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Ref: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Rule="auto"/>
      <w:jc w:val="lef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w:t>
    </w:r>
    <w:r w:rsidDel="00000000" w:rsidR="00000000" w:rsidRPr="00000000">
      <w:rPr>
        <w:rFonts w:ascii="Arial" w:cs="Arial" w:eastAsia="Arial" w:hAnsi="Arial"/>
        <w:b w:val="1"/>
        <w:sz w:val="20"/>
        <w:szCs w:val="20"/>
        <w:highlight w:val="white"/>
        <w:rtl w:val="0"/>
      </w:rPr>
      <w:t xml:space="preserve"> 28 </w:t>
    </w:r>
    <w:r w:rsidDel="00000000" w:rsidR="00000000" w:rsidRPr="00000000">
      <w:rPr>
        <w:rFonts w:ascii="Arial" w:cs="Arial" w:eastAsia="Arial" w:hAnsi="Arial"/>
        <w:b w:val="1"/>
        <w:sz w:val="20"/>
        <w:szCs w:val="20"/>
        <w:rtl w:val="0"/>
      </w:rPr>
      <w:t xml:space="preserve">(TUPE Surcharge)</w:t>
    </w:r>
  </w:p>
  <w:p w:rsidR="00000000" w:rsidDel="00000000" w:rsidP="00000000" w:rsidRDefault="00000000" w:rsidRPr="00000000" w14:paraId="00000098">
    <w:pPr>
      <w:tabs>
        <w:tab w:val="center" w:leader="none" w:pos="4513"/>
        <w:tab w:val="right" w:leader="none" w:pos="9026"/>
      </w:tabs>
      <w:spacing w:after="0" w:lineRule="auto"/>
      <w:jc w:val="left"/>
      <w:rPr>
        <w:rFonts w:ascii="Arial" w:cs="Arial" w:eastAsia="Arial" w:hAnsi="Arial"/>
        <w:sz w:val="20"/>
        <w:szCs w:val="20"/>
      </w:rPr>
    </w:pPr>
    <w:bookmarkStart w:colFirst="0" w:colLast="0" w:name="_heading=h.1fob9te" w:id="10"/>
    <w:bookmarkEnd w:id="10"/>
    <w:r w:rsidDel="00000000" w:rsidR="00000000" w:rsidRPr="00000000">
      <w:rPr>
        <w:rFonts w:ascii="Arial" w:cs="Arial" w:eastAsia="Arial" w:hAnsi="Arial"/>
        <w:sz w:val="20"/>
        <w:szCs w:val="20"/>
        <w:rtl w:val="0"/>
      </w:rPr>
      <w:t xml:space="preserve">Call-Off Ref: </w:t>
    </w:r>
  </w:p>
  <w:p w:rsidR="00000000" w:rsidDel="00000000" w:rsidP="00000000" w:rsidRDefault="00000000" w:rsidRPr="00000000" w14:paraId="00000099">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9A">
    <w:pPr>
      <w:tabs>
        <w:tab w:val="center" w:leader="none" w:pos="4513"/>
        <w:tab w:val="right" w:leader="none" w:pos="9026"/>
      </w:tabs>
      <w:spacing w:after="0" w:lineRule="auto"/>
      <w:jc w:val="right"/>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decimal"/>
      <w:lvlText w:val="%1."/>
      <w:lvlJc w:val="left"/>
      <w:pPr>
        <w:ind w:left="502" w:hanging="360"/>
      </w:pPr>
      <w:rPr>
        <w:color w:val="000000"/>
        <w:u w:val="none"/>
      </w:rPr>
    </w:lvl>
    <w:lvl w:ilvl="1">
      <w:start w:val="1"/>
      <w:numFmt w:val="decimal"/>
      <w:lvlText w:val="%1.%2."/>
      <w:lvlJc w:val="left"/>
      <w:pPr>
        <w:ind w:left="1078" w:hanging="579"/>
      </w:pPr>
      <w:rPr>
        <w:rFonts w:ascii="Arial" w:cs="Arial" w:eastAsia="Arial" w:hAnsi="Arial"/>
        <w:b w:val="0"/>
        <w:color w:val="000000"/>
        <w:u w:val="none"/>
      </w:rPr>
    </w:lvl>
    <w:lvl w:ilvl="2">
      <w:start w:val="1"/>
      <w:numFmt w:val="decimal"/>
      <w:lvlText w:val="%1.%2.%3."/>
      <w:lvlJc w:val="left"/>
      <w:pPr>
        <w:ind w:left="1798" w:hanging="720"/>
      </w:pPr>
      <w:rPr>
        <w:rFonts w:ascii="Arial" w:cs="Arial" w:eastAsia="Arial" w:hAnsi="Arial"/>
        <w:b w:val="0"/>
        <w:color w:val="000000"/>
        <w:u w:val="none"/>
      </w:rPr>
    </w:lvl>
    <w:lvl w:ilvl="3">
      <w:start w:val="1"/>
      <w:numFmt w:val="lowerLetter"/>
      <w:lvlText w:val="(%4)"/>
      <w:lvlJc w:val="left"/>
      <w:pPr>
        <w:ind w:left="2733" w:hanging="935"/>
      </w:pPr>
      <w:rPr>
        <w:rFonts w:ascii="Arial" w:cs="Arial" w:eastAsia="Arial" w:hAnsi="Arial"/>
        <w:b w:val="0"/>
        <w:color w:val="000000"/>
        <w:u w:val="non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2">
    <w:lvl w:ilvl="0">
      <w:start w:val="1"/>
      <w:numFmt w:val="decimal"/>
      <w:lvlText w:val="%1."/>
      <w:lvlJc w:val="left"/>
      <w:pPr>
        <w:ind w:left="502" w:hanging="360"/>
      </w:pPr>
      <w:rPr>
        <w:rFonts w:ascii="Arial" w:cs="Arial" w:eastAsia="Arial" w:hAnsi="Arial"/>
        <w:b w:val="1"/>
      </w:rPr>
    </w:lvl>
    <w:lvl w:ilvl="1">
      <w:start w:val="1"/>
      <w:numFmt w:val="decimal"/>
      <w:lvlText w:val="%1.%2."/>
      <w:lvlJc w:val="left"/>
      <w:pPr>
        <w:ind w:left="1078" w:hanging="579"/>
      </w:pPr>
      <w:rPr>
        <w:rFonts w:ascii="Arial" w:cs="Arial" w:eastAsia="Arial" w:hAnsi="Arial"/>
        <w:b w:val="0"/>
      </w:rPr>
    </w:lvl>
    <w:lvl w:ilvl="2">
      <w:start w:val="1"/>
      <w:numFmt w:val="decimal"/>
      <w:lvlText w:val="%1.%2.%3."/>
      <w:lvlJc w:val="left"/>
      <w:pPr>
        <w:ind w:left="1798" w:hanging="720"/>
      </w:pPr>
      <w:rPr>
        <w:rFonts w:ascii="Arial" w:cs="Arial" w:eastAsia="Arial" w:hAnsi="Arial"/>
        <w:b w:val="0"/>
      </w:rPr>
    </w:lvl>
    <w:lvl w:ilvl="3">
      <w:start w:val="1"/>
      <w:numFmt w:val="lowerLetter"/>
      <w:lvlText w:val="(%4)"/>
      <w:lvlJc w:val="left"/>
      <w:pPr>
        <w:ind w:left="2733" w:hanging="935"/>
      </w:pPr>
      <w:rPr>
        <w:rFonts w:ascii="Arial" w:cs="Arial" w:eastAsia="Arial" w:hAnsi="Arial"/>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val="1"/>
    <w:unhideWhenUsed w:val="1"/>
    <w:qFormat w:val="1"/>
    <w:pPr>
      <w:tabs>
        <w:tab w:val="num" w:pos="862"/>
      </w:tabs>
      <w:ind w:left="862" w:hanging="720"/>
      <w:outlineLvl w:val="1"/>
    </w:pPr>
    <w:rPr>
      <w:rFonts w:cs="Times New Roman"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val="1"/>
    <w:unhideWhenUsed w:val="1"/>
    <w:qFormat w:val="1"/>
    <w:pPr>
      <w:keepNext w:val="1"/>
      <w:spacing w:after="60" w:before="240" w:line="276" w:lineRule="auto"/>
      <w:jc w:val="left"/>
      <w:outlineLvl w:val="2"/>
    </w:pPr>
    <w:rPr>
      <w:rFonts w:ascii="Cambria" w:cs="Times New Roman" w:hAnsi="Cambria"/>
      <w:b w:val="1"/>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val="1"/>
    <w:unhideWhenUsed w:val="1"/>
    <w:qFormat w:val="1"/>
    <w:pPr>
      <w:tabs>
        <w:tab w:val="num" w:pos="2781"/>
      </w:tabs>
      <w:ind w:left="2781" w:hanging="1080"/>
      <w:outlineLvl w:val="3"/>
    </w:pPr>
    <w:rPr>
      <w:rFonts w:cs="Times New Roman"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3600"/>
      </w:tabs>
      <w:ind w:left="3600" w:hanging="720"/>
      <w:outlineLvl w:val="4"/>
    </w:pPr>
    <w:rPr>
      <w:rFonts w:cs="Times New Roman"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val="1"/>
    <w:unhideWhenUsed w:val="1"/>
    <w:qFormat w:val="1"/>
    <w:pPr>
      <w:tabs>
        <w:tab w:val="num" w:pos="4320"/>
      </w:tabs>
      <w:ind w:left="4320" w:hanging="720"/>
      <w:outlineLvl w:val="5"/>
    </w:pPr>
    <w:rPr>
      <w:rFonts w:cs="Times New Roman" w:eastAsia="STZhongsong"/>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cs="Times New Roman" w:eastAsia="STZhongsong" w:hAnsi="Arial"/>
      <w:sz w:val="20"/>
      <w:szCs w:val="20"/>
      <w:lang w:val="x-none"/>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cs="Times New Roman" w:eastAsia="Times New Roman" w:hAnsi="Cambria"/>
      <w:b w:val="1"/>
      <w:sz w:val="26"/>
      <w:szCs w:val="26"/>
      <w:lang w:val="x-none"/>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cs="Times New Roman" w:eastAsia="STZhongsong" w:hAnsi="Arial"/>
      <w:sz w:val="20"/>
      <w:szCs w:val="20"/>
      <w:lang w:val="x-none"/>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cs="Times New Roman" w:eastAsia="STZhongsong" w:hAnsi="Arial"/>
      <w:sz w:val="20"/>
      <w:szCs w:val="20"/>
      <w:lang w:val="x-none"/>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cs="Times New Roman" w:eastAsia="STZhongsong" w:hAnsi="Arial"/>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ascii="Calibri" w:cs="Arial" w:hAnsi="Calibri"/>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ascii="Calibri" w:cs="Arial" w:hAnsi="Calibri"/>
    </w:rPr>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uiPriority w:val="99"/>
    <w:qFormat w:val="1"/>
    <w:p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numPr>
        <w:ilvl w:val="1"/>
        <w:numId w:val="3"/>
      </w:numPr>
      <w:tabs>
        <w:tab w:val="left" w:pos="1134"/>
      </w:tabs>
      <w:spacing w:after="120" w:before="120"/>
    </w:pPr>
  </w:style>
  <w:style w:type="paragraph" w:styleId="GPSL3numberedclause" w:customStyle="1">
    <w:name w:val="GPS L3 numbered clause"/>
    <w:basedOn w:val="Normal"/>
    <w:qFormat w:val="1"/>
    <w:pPr>
      <w:numPr>
        <w:ilvl w:val="2"/>
        <w:numId w:val="3"/>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s>
    </w:pPr>
  </w:style>
  <w:style w:type="character" w:styleId="GPSL2numberedclauseChar1" w:customStyle="1">
    <w:name w:val="GPS L2 numbered clause Char1"/>
    <w:rPr>
      <w:rFonts w:ascii="Calibri" w:hAnsi="Calibri"/>
      <w:lang w:val="x-none"/>
    </w:rPr>
  </w:style>
  <w:style w:type="character" w:styleId="GPSL3numberedclauseChar" w:customStyle="1">
    <w:name w:val="GPS L3 numbered clause Char"/>
    <w:rPr>
      <w:rFonts w:ascii="Calibri" w:hAnsi="Calibri"/>
      <w:lang w:val="x-none"/>
    </w:rPr>
  </w:style>
  <w:style w:type="character" w:styleId="GPSL4numberedclauseChar" w:customStyle="1">
    <w:name w:val="GPS L4 numbered clause Char"/>
    <w:rPr>
      <w:rFonts w:ascii="Calibri" w:hAnsi="Calibri"/>
      <w:lang w:val="x-none"/>
    </w:rPr>
  </w:style>
  <w:style w:type="paragraph" w:styleId="GPSL5numberedclause" w:customStyle="1">
    <w:name w:val="GPS L5 numbered clause"/>
    <w:basedOn w:val="GPSL4numberedclause"/>
    <w:qFormat w:val="1"/>
    <w:pPr>
      <w:numPr>
        <w:ilvl w:val="4"/>
      </w:numPr>
    </w:pPr>
  </w:style>
  <w:style w:type="paragraph" w:styleId="GPSL6numbered" w:customStyle="1">
    <w:name w:val="GPS L6 numbered"/>
    <w:basedOn w:val="GPSL5numberedclause"/>
    <w:uiPriority w:val="99"/>
    <w:qFormat w:val="1"/>
    <w:pPr>
      <w:numPr>
        <w:ilvl w:val="0"/>
        <w:numId w:val="0"/>
      </w:numPr>
      <w:tabs>
        <w:tab w:val="left" w:pos="3686"/>
      </w:tabs>
    </w:p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lang w:val="x-none"/>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L1SCHEDULEHeading" w:customStyle="1">
    <w:name w:val="GPS L1 SCHEDULE Heading"/>
    <w:basedOn w:val="GPSL1CLAUSEHEADING"/>
    <w:qFormat w:val="1"/>
    <w:pPr>
      <w:outlineLvl w:val="9"/>
    </w:pPr>
  </w:style>
  <w:style w:type="character" w:styleId="GPSL1SCHEDULEHeadingChar" w:customStyle="1">
    <w:name w:val="GPS L1 SCHEDULE Heading Char"/>
    <w:rPr>
      <w:rFonts w:ascii="Calibri" w:eastAsia="STZhongsong" w:hAnsi="Calibri"/>
      <w:b w:val="1"/>
      <w:caps w:val="1"/>
      <w:lang w:val="x-none"/>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cs="Tahoma" w:hAnsi="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ascii="Calibri" w:cs="Arial" w:hAnsi="Calibri"/>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ascii="Calibri" w:cs="Arial" w:hAnsi="Calibri"/>
      <w:b w:val="1"/>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val="1"/>
    <w:uiPriority w:val="99"/>
    <w:pPr>
      <w:autoSpaceDE w:val="0"/>
      <w:autoSpaceDN w:val="0"/>
      <w:adjustRightInd w:val="0"/>
    </w:pPr>
    <w:rPr>
      <w:rFonts w:ascii="Arial" w:cs="Arial" w:hAnsi="Arial"/>
    </w:rPr>
  </w:style>
  <w:style w:type="character" w:styleId="Heading1Char1" w:customStyle="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cs="Times New Roman" w:eastAsia="Times New Roman" w:hAnsi="Cambria"/>
      <w:b w:val="1"/>
      <w:kern w:val="32"/>
      <w:sz w:val="32"/>
      <w:szCs w:val="32"/>
      <w:lang w:val="x-none"/>
    </w:rPr>
  </w:style>
  <w:style w:type="paragraph" w:styleId="GPSL2NumberedBoldHeading" w:customStyle="1">
    <w:name w:val="GPS L2 Numbered Bold Heading"/>
    <w:basedOn w:val="Normal"/>
    <w:qFormat w:val="1"/>
    <w:pPr>
      <w:tabs>
        <w:tab w:val="left" w:pos="1134"/>
      </w:tabs>
      <w:spacing w:after="120" w:before="120"/>
    </w:pPr>
    <w:rPr>
      <w:b w:val="1"/>
    </w:rPr>
  </w:style>
  <w:style w:type="paragraph" w:styleId="GPSL2Numbered" w:customStyle="1">
    <w:name w:val="GPS L2 Numbered"/>
    <w:basedOn w:val="GPSL2NumberedBoldHeading"/>
    <w:qFormat w:val="1"/>
    <w:pPr>
      <w:tabs>
        <w:tab w:val="clear" w:pos="1134"/>
      </w:tabs>
    </w:pPr>
    <w:rPr>
      <w:b w:val="0"/>
    </w:rPr>
  </w:style>
  <w:style w:type="character" w:styleId="GPSL2NumberedChar" w:customStyle="1">
    <w:name w:val="GPS L2 Numbered Char"/>
    <w:rPr>
      <w:rFonts w:ascii="Calibri" w:hAnsi="Calibri"/>
      <w:lang w:val="x-none"/>
    </w:rPr>
  </w:style>
  <w:style w:type="character" w:styleId="Emphasis">
    <w:name w:val="Emphasis"/>
    <w:uiPriority w:val="20"/>
    <w:qFormat w:val="1"/>
    <w:rPr>
      <w:rFonts w:cs="Times New Roman"/>
      <w:i w:val="1"/>
    </w:rPr>
  </w:style>
  <w:style w:type="character" w:styleId="GPSL1CLAUSEHEADINGChar" w:customStyle="1">
    <w:name w:val="GPS L1 CLAUSE HEADING Char"/>
    <w:uiPriority w:val="99"/>
    <w:rPr>
      <w:rFonts w:ascii="Calibri" w:eastAsia="STZhongsong" w:hAnsi="Calibri"/>
      <w:b w:val="1"/>
      <w:caps w:val="1"/>
      <w:lang w:val="x-none"/>
    </w:rPr>
  </w:style>
  <w:style w:type="character" w:styleId="GPSL2NumberedBoldHeadingChar" w:customStyle="1">
    <w:name w:val="GPS L2 Numbered Bold Heading Char"/>
    <w:rPr>
      <w:rFonts w:ascii="Calibri" w:hAnsi="Calibri"/>
      <w:b w:val="1"/>
      <w:lang w:val="x-none"/>
    </w:rPr>
  </w:style>
  <w:style w:type="character" w:styleId="GPSL5numberedclauseChar" w:customStyle="1">
    <w:name w:val="GPS L5 numbered clause Char"/>
    <w:rPr>
      <w:rFonts w:ascii="Calibri" w:hAnsi="Calibri"/>
      <w:lang w:val="x-none"/>
    </w:rPr>
  </w:style>
  <w:style w:type="paragraph" w:styleId="Normal1" w:customStyle="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val="1"/>
    <w:pPr>
      <w:ind w:left="720"/>
      <w:contextualSpacing w:val="1"/>
    </w:pPr>
  </w:style>
  <w:style w:type="paragraph" w:styleId="BodyText">
    <w:name w:val="Body Text"/>
    <w:basedOn w:val="Normal"/>
    <w:next w:val="GPSmacrorestart"/>
    <w:link w:val="BodyTextChar"/>
    <w:uiPriority w:val="99"/>
    <w:pPr>
      <w:spacing w:after="0"/>
      <w:jc w:val="left"/>
    </w:pPr>
    <w:rPr>
      <w:rFonts w:ascii="Times New Roman" w:cs="Times New Roman" w:hAnsi="Times New Roman"/>
      <w:sz w:val="18"/>
      <w:szCs w:val="24"/>
      <w:lang w:val="en-US"/>
    </w:rPr>
  </w:style>
  <w:style w:type="character" w:styleId="BodyTextChar" w:customStyle="1">
    <w:name w:val="Body Text Char"/>
    <w:link w:val="BodyText"/>
    <w:uiPriority w:val="99"/>
    <w:semiHidden w:val="1"/>
    <w:rPr>
      <w:rFonts w:ascii="Calibri" w:cs="Arial" w:hAnsi="Calibri"/>
    </w:rPr>
  </w:style>
  <w:style w:type="paragraph" w:styleId="DocumentMap">
    <w:name w:val="Document Map"/>
    <w:basedOn w:val="Normal"/>
    <w:next w:val="GPSL5numberedclause"/>
    <w:link w:val="DocumentMapChar"/>
    <w:uiPriority w:val="99"/>
    <w:pPr>
      <w:shd w:color="auto" w:fill="000080" w:val="clear"/>
      <w:spacing w:after="0"/>
      <w:jc w:val="left"/>
    </w:pPr>
    <w:rPr>
      <w:rFonts w:ascii="Tahoma" w:cs="Times New Roman" w:hAnsi="Tahoma"/>
      <w:sz w:val="24"/>
      <w:szCs w:val="24"/>
      <w:lang w:val="en-US"/>
    </w:rPr>
  </w:style>
  <w:style w:type="character" w:styleId="DocumentMapChar" w:customStyle="1">
    <w:name w:val="Document Map Char"/>
    <w:link w:val="DocumentMap"/>
    <w:uiPriority w:val="99"/>
    <w:semiHidden w:val="1"/>
    <w:rPr>
      <w:rFonts w:ascii="Tahoma" w:cs="Tahoma" w:hAnsi="Tahoma"/>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924C08"/>
    <w:pPr>
      <w:autoSpaceDE w:val="1"/>
      <w:autoSpaceDN w:val="1"/>
      <w:adjustRightInd w:val="1"/>
      <w:spacing w:after="100" w:afterAutospacing="1" w:before="100" w:beforeAutospacing="1"/>
      <w:jc w:val="left"/>
    </w:pPr>
    <w:rPr>
      <w:rFonts w:ascii="Times New Roman" w:cs="Times New Roman" w:eastAsia="Times New Roman" w:hAnsi="Times New Roman"/>
      <w:sz w:val="24"/>
      <w:szCs w:val="24"/>
    </w:rPr>
  </w:style>
  <w:style w:type="table" w:styleId="a5"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geqZl3UEnklbafo7plV8QD/XeA==">CgMxLjAyCWguMzBqMHpsbDIOaC5vcWQzNDA0MnpjenoyCWguMnM4ZXlvMTIJaC4zem55c2g3MgloLjJldDkycDAyCGgudHlqY3d0MgloLjRkMzRvZzgyCWguM2R5NnZrbTIJaC4xN2RwOHZ1MghoLmdqZGd4czIJaC4xZm9iOXRlMgloLjF0M2g1c2Y4AHIhMVozMmJtcWoxa2JvbzRKWExEaHVZNUJHUlFFR1NxVVZZ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2021-10-28T14:11:00Z</dcterms:created>
  <dc:creator>Tom McCaldon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